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F3A5F"/>
          <w:sz w:val="36"/>
          <w:rFonts w:ascii="Calibri" w:hAnsi="Calibri"/>
        </w:rPr>
        <w:t>La mediazione civile e commerciale nel mondo — ricognizione dei dati su mediazioni e mediatori</w:t>
      </w:r>
    </w:p>
    <w:p>
      <w:r>
        <w:rPr>
          <w:i/>
          <w:color w:val="666666"/>
          <w:rFonts w:ascii="Calibri" w:hAnsi="Calibri"/>
        </w:rPr>
        <w:t>Nota metodologica alle due tabelle (best effort) · luglio 2026</w:t>
      </w:r>
    </w:p>
    <w:p>
      <w:pPr>
        <w:jc w:val="both"/>
      </w:pPr>
      <w:r>
        <w:rPr>
          <w:b w:val="0"/>
          <w:rFonts w:ascii="Calibri" w:hAnsi="Calibri"/>
        </w:rPr>
        <w:t>Premessa. Questa ricognizione accompagna due tabelle in formato Excel («Ricerca mondiale mediazione — tabelle»): la prima sul numero di mediazioni per Paese, la seconda sui registri e sul numero di mediatori per Paese. Il lavoro è dichiaratamente «best effort» e non esaustivo: privilegia l'accuratezza sulla completezza apparente. Dove non esistono dati pubblici affidabili, la casella riporta «N/D» anziché una stima azzardata.</w:t>
      </w:r>
    </w:p>
    <w:p>
      <w:pPr>
        <w:spacing w:before="220" w:after="60"/>
      </w:pPr>
      <w:r>
        <w:rPr>
          <w:b/>
          <w:color w:val="1F3A5F"/>
          <w:sz w:val="28"/>
          <w:rFonts w:ascii="Calibri" w:hAnsi="Calibri"/>
        </w:rPr>
        <w:t>1. Mappatura delle fonti e limiti informativi</w:t>
      </w:r>
    </w:p>
    <w:p>
      <w:pPr>
        <w:jc w:val="both"/>
      </w:pPr>
      <w:r>
        <w:rPr>
          <w:b/>
          <w:rFonts w:ascii="Calibri" w:hAnsi="Calibri"/>
        </w:rPr>
        <w:t>Fonti «core» effettivamente utilizzabili:</w:t>
      </w:r>
    </w:p>
    <w:p>
      <w:pPr>
        <w:pStyle w:val="ListBullet"/>
      </w:pPr>
      <w:r>
        <w:rPr>
          <w:sz w:val="21"/>
          <w:rFonts w:ascii="Calibri" w:hAnsi="Calibri"/>
        </w:rPr>
        <w:t>CEPEJ (Consiglio d'Europa) — Evaluation Report 2024 sui sistemi giudiziari europei (dati 2022, pubblicato il 16 ottobre 2024; 44 Stati membri + Israele e Marocco): è la fonte comparata di riferimento su volumi di mediazione e su mediatori. La mediana dei mediatori accreditati/registrati è salita a 17 ogni 100.000 abitanti nel 2021 (da 9,5 nel 2012). La mediazione connessa alla corte esiste in tutti gli Stati (obbligatoria in metà, per materie specifiche) ma resta sottoutilizzata, e la mediazione extragiudiziale è difficilmente misurabile. Dati per Paese/anno scaricabili da CEPEJ-STAT.</w:t>
      </w:r>
    </w:p>
    <w:p>
      <w:pPr>
        <w:pStyle w:val="ListBullet"/>
      </w:pPr>
      <w:r>
        <w:rPr>
          <w:sz w:val="21"/>
          <w:rFonts w:ascii="Calibri" w:hAnsi="Calibri"/>
        </w:rPr>
        <w:t>Commissione europea — EU Justice Scoreboard (ed. 2026, COM(2026) 273): promozione e incentivi all'ADR, tempi e pendenze, e alcuni indicatori di mediazione per i 27 Stati UE.</w:t>
      </w:r>
    </w:p>
    <w:p>
      <w:pPr>
        <w:pStyle w:val="ListBullet"/>
      </w:pPr>
      <w:r>
        <w:rPr>
          <w:sz w:val="21"/>
          <w:rFonts w:ascii="Calibri" w:hAnsi="Calibri"/>
        </w:rPr>
        <w:t>Registri e uffici statistici ministeriali nazionali: es. DGSTAT (Italia), CGPJ/Poder Judicial (Spagna), DGPJ (Portogallo), PMS ČR (Rep. Ceca), Relationships Scotland. Sono le fonti primarie, ma esistono solo in una minoranza di Paesi.</w:t>
      </w:r>
    </w:p>
    <w:p>
      <w:pPr>
        <w:pStyle w:val="ListBullet"/>
      </w:pPr>
      <w:r>
        <w:rPr>
          <w:sz w:val="21"/>
          <w:rFonts w:ascii="Calibri" w:hAnsi="Calibri"/>
        </w:rPr>
        <w:t>mediareinformati.it: compilazione comparata dei 195 ordinamenti (registri dei mediatori per Paese con ente gestore e link; background dei mediatori; profili paese con normativa e novità). È la base che consente la copertura dei 195 Paesi per la colonna «registro».</w:t>
      </w:r>
    </w:p>
    <w:p>
      <w:pPr>
        <w:pStyle w:val="ListBullet"/>
      </w:pPr>
      <w:r>
        <w:rPr>
          <w:sz w:val="21"/>
          <w:rFonts w:ascii="Calibri" w:hAnsi="Calibri"/>
        </w:rPr>
        <w:t>C. A. Calcagno, «Arbitrato e negoziato in Europa» (Cendon/Book, 2020): sintesi comparata UE su numero di mediatori (83.213 nel 2019; 79.598 nel maggio 2020) e sulle mediazioni familiari e penali. Sulla stessa base l'autore ha aggiornato il numero dei mediatori per Paese al 2019-2021 (dato di fonte primaria delle tabelle allegate).</w:t>
      </w:r>
    </w:p>
    <w:p>
      <w:pPr>
        <w:pStyle w:val="ListBullet"/>
      </w:pPr>
      <w:r>
        <w:rPr>
          <w:sz w:val="21"/>
          <w:rFonts w:ascii="Calibri" w:hAnsi="Calibri"/>
        </w:rPr>
        <w:t>UNCITRAL, ICC e centri ADR nazionali/internazionali: forniscono la cornice normativa e la casistica commerciale internazionale, ma non conteggi nazionali sistematici.</w:t>
      </w:r>
    </w:p>
    <w:p>
      <w:pPr>
        <w:jc w:val="both"/>
      </w:pPr>
      <w:r>
        <w:rPr>
          <w:b/>
          <w:rFonts w:ascii="Calibri" w:hAnsi="Calibri"/>
        </w:rPr>
        <w:t>Limiti tecnici e pratici (decisivi per leggere le tabelle):</w:t>
      </w:r>
    </w:p>
    <w:p>
      <w:pPr>
        <w:pStyle w:val="ListBullet"/>
      </w:pPr>
      <w:r>
        <w:rPr>
          <w:sz w:val="21"/>
          <w:rFonts w:ascii="Calibri" w:hAnsi="Calibri"/>
        </w:rPr>
        <w:t>Nessuna banca dati mondiale, né una europea, né per i mediatori né per le organizzazioni: i numeri vanno ricostruiti Paese per Paese.</w:t>
      </w:r>
    </w:p>
    <w:p>
      <w:pPr>
        <w:pStyle w:val="ListBullet"/>
      </w:pPr>
      <w:r>
        <w:rPr>
          <w:sz w:val="21"/>
          <w:rFonts w:ascii="Calibri" w:hAnsi="Calibri"/>
        </w:rPr>
        <w:t>Definizione non uniforme di «mediazione»: alcuni ordinamenti non distinguono per materia (chi è mediatore lo è «a tutto tondo»); altri contano solo mediatori certificati, altri mescolano persone fisiche e organizzazioni (es. Regno Unito).</w:t>
      </w:r>
    </w:p>
    <w:p>
      <w:pPr>
        <w:pStyle w:val="ListBullet"/>
      </w:pPr>
      <w:r>
        <w:rPr>
          <w:sz w:val="21"/>
          <w:rFonts w:ascii="Calibri" w:hAnsi="Calibri"/>
        </w:rPr>
        <w:t>Registri incompleti o assenti: la Germania non ha un registro pubblico (solo elenchi privati): i ~79.598 mediatori «censiti» nell'UE nel 2020 NON includono la Germania, cui stime non ufficiali attribuiscono ~70.000 mediatori. Il totale reale UE potrebbe quindi essere di gran lunga superiore (~150.000).</w:t>
      </w:r>
    </w:p>
    <w:p>
      <w:pPr>
        <w:pStyle w:val="ListBullet"/>
      </w:pPr>
      <w:r>
        <w:rPr>
          <w:sz w:val="21"/>
          <w:rFonts w:ascii="Calibri" w:hAnsi="Calibri"/>
        </w:rPr>
        <w:t>Doppie iscrizioni: lo stesso mediatore spesso è iscritto a più sezioni o a più panel di corte (es. Francia), gonfiando i conteggi.</w:t>
      </w:r>
    </w:p>
    <w:p>
      <w:pPr>
        <w:pStyle w:val="ListBullet"/>
      </w:pPr>
      <w:r>
        <w:rPr>
          <w:sz w:val="21"/>
          <w:rFonts w:ascii="Calibri" w:hAnsi="Calibri"/>
        </w:rPr>
        <w:t>Dati riferiti spesso solo a un segmento (mediazione familiare o penale, o intragiudiziale) e non al totale; e ad anni diversi.</w:t>
      </w:r>
    </w:p>
    <w:p>
      <w:pPr>
        <w:pStyle w:val="ListBullet"/>
      </w:pPr>
      <w:r>
        <w:rPr>
          <w:sz w:val="21"/>
          <w:rFonts w:ascii="Calibri" w:hAnsi="Calibri"/>
        </w:rPr>
        <w:t>Per la grande maggioranza dei Paesi extra-UE non esistono statistiche pubbliche sui volumi: si può documentare l'esistenza del registro/centro ADR, non il numero di mediazioni.</w:t>
      </w:r>
    </w:p>
    <w:p>
      <w:pPr>
        <w:spacing w:before="220" w:after="60"/>
      </w:pPr>
      <w:r>
        <w:rPr>
          <w:b/>
          <w:color w:val="1F3A5F"/>
          <w:sz w:val="28"/>
          <w:rFonts w:ascii="Calibri" w:hAnsi="Calibri"/>
        </w:rPr>
        <w:t>2-3. Statistiche per Paese, registri e numero di mediatori</w:t>
      </w:r>
    </w:p>
    <w:p>
      <w:pPr>
        <w:jc w:val="both"/>
      </w:pPr>
      <w:r>
        <w:rPr>
          <w:b w:val="0"/>
          <w:rFonts w:ascii="Calibri" w:hAnsi="Calibri"/>
        </w:rPr>
        <w:t>Le due tabelle Excel contengono una riga per ciascuno dei 195 Stati. In dettaglio:</w:t>
      </w:r>
    </w:p>
    <w:p>
      <w:pPr>
        <w:pStyle w:val="ListBullet"/>
      </w:pPr>
      <w:r>
        <w:rPr>
          <w:sz w:val="21"/>
          <w:rFonts w:ascii="Calibri" w:hAnsi="Calibri"/>
        </w:rPr>
        <w:t>Tabella 1 (Mediazioni per Paese): popolata con dati affidabili per ~15 Paesi (soprattutto UE, via CEPEJ/Commissione, più Italia via DGSTAT e Cina); per gli altri «N/D». Sono indicati anno/intervallo, cifra, tipologia (familiare/penale/civile) e fonte.</w:t>
      </w:r>
    </w:p>
    <w:p>
      <w:pPr>
        <w:pStyle w:val="ListBullet"/>
      </w:pPr>
      <w:r>
        <w:rPr>
          <w:sz w:val="21"/>
          <w:rFonts w:ascii="Calibri" w:hAnsi="Calibri"/>
        </w:rPr>
        <w:t>Tabella 2 (Mediatori e registri): la colonna «registro ufficiale» e la descrizione dell'ente gestore sono compilate per tutti i 195 Paesi (dalla compilazione di mediareinformati.it). Il numero di mediatori è disponibile per 30 giurisdizioni europee (UE+UK, serie 2019-2021, elaborazione C. A. Calcagno) e per 102 ordinamenti extra-UE contati registro per registro nella lingua del luogo (ricerca 2026, con anno, fonte e densità); altrove «N/D». Metodo: il numero dei mediatori è calcolato registro per registro (una tabella per Paese), consultando ciascun registro ufficiale nella lingua ufficiale del luogo; non si usano aggregati o stime dove esiste il registro nazionale consultabile. Per gli Stati privi di registro formale la descrizione indica comunque i centri privati/ONG/camere di commercio attraverso cui la mediazione è comunque praticata.</w:t>
      </w:r>
    </w:p>
    <w:p>
      <w:pPr>
        <w:spacing w:before="220" w:after="60"/>
      </w:pPr>
      <w:r>
        <w:rPr>
          <w:b/>
          <w:color w:val="1F3A5F"/>
          <w:sz w:val="28"/>
          <w:rFonts w:ascii="Calibri" w:hAnsi="Calibri"/>
        </w:rPr>
        <w:t>4-5. Qualità dei dati e avvertenze</w:t>
      </w:r>
    </w:p>
    <w:p>
      <w:pPr>
        <w:jc w:val="both"/>
      </w:pPr>
      <w:r>
        <w:rPr>
          <w:b w:val="0"/>
          <w:rFonts w:ascii="Calibri" w:hAnsi="Calibri"/>
        </w:rPr>
        <w:t>Italia (serie DGSTAT; ~163.000 mediazioni civili/commerciali nel 2025), Spagna (CGPJ: 35.217 cause civili avviate a mediazione intragiudiziale nel 2023, 65% con accordo, ma servizio attivo solo in 86 dei 431 partidos judiciales)</w:t>
      </w:r>
    </w:p>
    <w:p>
      <w:pPr>
        <w:jc w:val="both"/>
      </w:pPr>
      <w:r>
        <w:rPr>
          <w:b w:val="0"/>
          <w:rFonts w:ascii="Calibri" w:hAnsi="Calibri"/>
        </w:rPr>
        <w:t>Problemi comparativi principali: (a) definizioni diverse di mediazione; (b) dati riferiti solo alla mediazione obbligatoria o intragiudiziale in alcuni Paesi; (c) differenza tra mediazione amministrata (es. Italia, dove il mediatore è pagato dall'organismo) e non amministrata (es. Germania, Regno Unito, dove si esercita anche individualmente); (d) anni di riferimento eterogenei (dal 2016-2019 al 2025). Di conseguenza i confronti fra Paesi vanno fatti con cautela: le cifre non sono pienamente commensurabili.</w:t>
      </w:r>
    </w:p>
    <w:p>
      <w:pPr>
        <w:spacing w:before="220" w:after="60"/>
      </w:pPr>
      <w:r>
        <w:rPr>
          <w:b/>
          <w:color w:val="1F3A5F"/>
          <w:sz w:val="28"/>
          <w:rFonts w:ascii="Calibri" w:hAnsi="Calibri"/>
        </w:rPr>
        <w:t>6. Sintesi dei risultati principali</w:t>
      </w:r>
    </w:p>
    <w:p>
      <w:pPr>
        <w:pStyle w:val="ListBullet"/>
      </w:pPr>
      <w:r>
        <w:rPr>
          <w:sz w:val="21"/>
          <w:rFonts w:ascii="Calibri" w:hAnsi="Calibri"/>
        </w:rPr>
        <w:t>Volumi di mediazione: l'Italia è, in valore assoluto, il più grande «motore» europeo di mediazione civile e commerciale (~163.000 procedimenti l'anno, 2025). Fuori dall'Europa domina la Cina, con oltre 15 milioni di mediazioni preventive l'anno. La gran parte degli altri Paesi UE registra volumi molto più contenuti, spesso concentrati nella mediazione familiare o penale (poche centinaia o migliaia di casi).</w:t>
      </w:r>
    </w:p>
    <w:p>
      <w:pPr>
        <w:pStyle w:val="ListBullet"/>
      </w:pPr>
      <w:r>
        <w:rPr>
          <w:sz w:val="21"/>
          <w:rFonts w:ascii="Calibri" w:hAnsi="Calibri"/>
        </w:rPr>
        <w:t>Mediatori: nell'UE risultavano censiti 83.213 mediatori nel 2019, 79.598 nel 2020 e 76.085 nel 2021 (elaborazione dell'avv. C. A. Calcagno sui registri europei nazionali: ~1 ogni 5.853 abitanti nel 2021). Fuori dall'UE/UK il conteggio è stato esteso registro per registro, nella lingua di ciascun Paese: 102 ordinamenti extra-UE con un totale ufficiale (fra cui Perù ~58.738, Turchia ~45.154, India ~20.000, Argentina 4.513); sommando i soli registri professionali confrontabili (76.085 in UE+UK e ~167.900 in 81 Paesi extra-UE) si arriva a circa 244.000 mediatori professionali censiti. Alcune cifre datate sono state corrette al ribasso con dati più recenti (es. Arabia Saudita: 17.000 erano domande di iscrizione 2020, non accreditati; conciliatori certificati 720 nel 2024); vanno tenute distinte, e non sommate, la mediazione popolare/comunitaria (Cina, Ruanda, Sri Lanka, Taiwan) e i dati sub-nazionali/parziali (USA-Florida, Brasile). Il quadro per Paese e anno è riportato nel foglio «3-Mediatori Europa 2019-2021» delle tabelle allegate. Il dato tedesco (7.500 registrati) esclude i molti mediatori non iscritti (~70.000 stimati): il totale reale è verosimilmente più alto. L'UE dispone di circa dieci volte i «neutri» degli Stati Uniti, dove però il 98% delle liti si compone prima del processo con molti meno operatori.</w:t>
      </w:r>
    </w:p>
    <w:p>
      <w:pPr>
        <w:pStyle w:val="ListBullet"/>
      </w:pPr>
      <w:r>
        <w:rPr>
          <w:sz w:val="21"/>
          <w:rFonts w:ascii="Calibri" w:hAnsi="Calibri"/>
        </w:rPr>
        <w:t>Densità: i Paesi con più mediatori per abitante sono Romania, Cipro e Italia; i più «scoperti» (e quindi con maggiori prospettive occupazionali teoriche) sono Inghilterra e Galles, Irlanda del Nord, Repubblica Ceca e Scozia.</w:t>
      </w:r>
    </w:p>
    <w:p>
      <w:pPr>
        <w:pStyle w:val="ListBullet"/>
      </w:pPr>
      <w:r>
        <w:rPr>
          <w:sz w:val="21"/>
          <w:rFonts w:ascii="Calibri" w:hAnsi="Calibri"/>
        </w:rPr>
        <w:t>Macro-quadro: dove esistono registro professionale serio, incentivi conosciuti e cornice processuale efficiente, la mediazione prospera; dove manca uno di questi pilastri, i numeri restano bassi anche in presenza di leggi avanzate.</w:t>
      </w:r>
    </w:p>
    <w:p>
      <w:pPr>
        <w:spacing w:before="220" w:after="60"/>
      </w:pPr>
      <w:r>
        <w:rPr>
          <w:b/>
          <w:color w:val="1F3A5F"/>
          <w:sz w:val="28"/>
          <w:rFonts w:ascii="Calibri" w:hAnsi="Calibri"/>
        </w:rPr>
        <w:t>Suggerimenti per migliorare la ricerca</w:t>
      </w:r>
    </w:p>
    <w:p>
      <w:pPr>
        <w:pStyle w:val="ListBullet"/>
      </w:pPr>
      <w:r>
        <w:rPr>
          <w:sz w:val="21"/>
          <w:rFonts w:ascii="Calibri" w:hAnsi="Calibri"/>
        </w:rPr>
        <w:t>Accesso diretto a CEPEJ-STAT (dataset scaricabili) per estrarre serie omogenee su mediazioni e mediatori dell'intera area del Consiglio d'Europa.</w:t>
      </w:r>
    </w:p>
    <w:p>
      <w:pPr>
        <w:pStyle w:val="ListBullet"/>
      </w:pPr>
      <w:r>
        <w:rPr>
          <w:sz w:val="21"/>
          <w:rFonts w:ascii="Calibri" w:hAnsi="Calibri"/>
        </w:rPr>
        <w:t>Richieste mirate agli uffici statistici e ai ministeri della giustizia nazionali (molti pubblicano annuari non indicizzati).</w:t>
      </w:r>
    </w:p>
    <w:p>
      <w:pPr>
        <w:pStyle w:val="ListBullet"/>
      </w:pPr>
      <w:r>
        <w:rPr>
          <w:sz w:val="21"/>
          <w:rFonts w:ascii="Calibri" w:hAnsi="Calibri"/>
        </w:rPr>
        <w:t>Indagini di ICC e UNCITRAL sulla mediazione commerciale internazionale e audit di centri come CEDR (Regno Unito) per le stime di mercato.</w:t>
      </w:r>
    </w:p>
    <w:p>
      <w:pPr>
        <w:pStyle w:val="ListBullet"/>
      </w:pPr>
      <w:r>
        <w:rPr>
          <w:sz w:val="21"/>
          <w:rFonts w:ascii="Calibri" w:hAnsi="Calibri"/>
        </w:rPr>
        <w:t>Collaborazione con reti accademiche e con GEMME (magistrati europei per la mediazione) per i Paesi privi di statistiche ufficiali.</w:t>
      </w:r>
    </w:p>
    <w:p>
      <w:pPr>
        <w:pStyle w:val="ListBullet"/>
      </w:pPr>
      <w:r>
        <w:rPr>
          <w:sz w:val="21"/>
          <w:rFonts w:ascii="Calibri" w:hAnsi="Calibri"/>
        </w:rPr>
        <w:t>Per l'extra-UE, triangolazione fra camere di commercio, centri ADR internazionali e rapporti di cooperazione (Banca Mondiale, banche regionali di sviluppo) che talvolta riportano dati progettuali.</w:t>
      </w:r>
    </w:p>
    <w:p>
      <w:pPr>
        <w:jc w:val="both"/>
      </w:pPr>
      <w:r>
        <w:rPr>
          <w:b w:val="0"/>
          <w:rFonts w:ascii="Calibri" w:hAnsi="Calibri"/>
        </w:rPr>
        <w:t>Trasparenza. Le due tabelle sono uno stato dell'arte ricostruito da fonti pubbliche e comparate; alcuni numeri sono stime ragionate, non dati ufficiali, e sono etichettati come tali. Il quadro è parziale e aggiornabile: la sua utilità sta nel distinguere ciò che è documentato da ciò che, ad oggi, semplicemente non è rilevato.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